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2F6D2AC0" wp14:paraId="1E207724" wp14:textId="34175A1E">
      <w:pPr>
        <w:pStyle w:val="Heading2"/>
      </w:pPr>
      <w:r w:rsidR="659EE9DD">
        <w:rPr/>
        <w:t xml:space="preserve">Configurações para utilização do plugin </w:t>
      </w:r>
      <w:r w:rsidR="659EE9DD">
        <w:rPr/>
        <w:t>Primax</w:t>
      </w:r>
      <w:r w:rsidR="659EE9DD">
        <w:rPr/>
        <w:t xml:space="preserve"> no município de Porangaba</w:t>
      </w:r>
      <w:r w:rsidR="2190B573">
        <w:rPr/>
        <w:t xml:space="preserve"> SP</w:t>
      </w:r>
      <w:r w:rsidR="659EE9DD">
        <w:rPr/>
        <w:t>:</w:t>
      </w:r>
    </w:p>
    <w:p w:rsidR="2F6D2AC0" w:rsidRDefault="2F6D2AC0" w14:paraId="40DEDB0C" w14:textId="65C5D704"/>
    <w:p w:rsidR="659EE9DD" w:rsidP="2F6D2AC0" w:rsidRDefault="659EE9DD" w14:paraId="01A3612C" w14:textId="3C398C3C">
      <w:pPr>
        <w:rPr>
          <w:b w:val="1"/>
          <w:bCs w:val="1"/>
        </w:rPr>
      </w:pPr>
      <w:r w:rsidRPr="2F6D2AC0" w:rsidR="659EE9DD">
        <w:rPr>
          <w:b w:val="1"/>
          <w:bCs w:val="1"/>
        </w:rPr>
        <w:t>Configurador:</w:t>
      </w:r>
    </w:p>
    <w:p w:rsidR="659EE9DD" w:rsidP="2F6D2AC0" w:rsidRDefault="659EE9DD" w14:paraId="3EFB20DE" w14:textId="09DE5A68">
      <w:pPr>
        <w:pStyle w:val="Normal"/>
        <w:jc w:val="center"/>
      </w:pPr>
      <w:r w:rsidR="659EE9DD">
        <w:drawing>
          <wp:inline wp14:editId="199F38E1" wp14:anchorId="1F038A7F">
            <wp:extent cx="7143750" cy="4886325"/>
            <wp:effectExtent l="0" t="0" r="0" b="0"/>
            <wp:docPr id="172527784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fd24706659a4a1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5C23A08" w:rsidP="2F6D2AC0" w:rsidRDefault="45C23A08" w14:paraId="739FFE47" w14:textId="11E26A04">
      <w:pPr>
        <w:pStyle w:val="Normal"/>
      </w:pPr>
      <w:r w:rsidR="45C23A08">
        <w:rPr/>
        <w:t xml:space="preserve">Os complementos </w:t>
      </w:r>
      <w:r w:rsidRPr="2F6D2AC0" w:rsidR="45C23A08">
        <w:rPr>
          <w:b w:val="1"/>
          <w:bCs w:val="1"/>
        </w:rPr>
        <w:t>Anexo</w:t>
      </w:r>
      <w:r w:rsidR="45C23A08">
        <w:rPr/>
        <w:t xml:space="preserve">, </w:t>
      </w:r>
      <w:r w:rsidRPr="2F6D2AC0" w:rsidR="45C23A08">
        <w:rPr>
          <w:b w:val="1"/>
          <w:bCs w:val="1"/>
        </w:rPr>
        <w:t>DataInicioAtividade</w:t>
      </w:r>
      <w:r w:rsidRPr="2F6D2AC0" w:rsidR="45C23A08">
        <w:rPr>
          <w:b w:val="1"/>
          <w:bCs w:val="1"/>
        </w:rPr>
        <w:t xml:space="preserve"> </w:t>
      </w:r>
      <w:r w:rsidR="45C23A08">
        <w:rPr/>
        <w:t xml:space="preserve">e </w:t>
      </w:r>
      <w:r w:rsidRPr="2F6D2AC0" w:rsidR="45C23A08">
        <w:rPr>
          <w:b w:val="1"/>
          <w:bCs w:val="1"/>
        </w:rPr>
        <w:t>ReceitaBruta</w:t>
      </w:r>
      <w:r w:rsidRPr="2F6D2AC0" w:rsidR="45C23A08">
        <w:rPr>
          <w:b w:val="1"/>
          <w:bCs w:val="1"/>
        </w:rPr>
        <w:t xml:space="preserve"> </w:t>
      </w:r>
      <w:r w:rsidR="45C23A08">
        <w:rPr/>
        <w:t>devem ser utilizados somente para empresas do simples nacional, conforme manual de integração.</w:t>
      </w:r>
    </w:p>
    <w:p w:rsidR="756ED271" w:rsidP="2F6D2AC0" w:rsidRDefault="756ED271" w14:paraId="1AF20838" w14:textId="48DCFC17">
      <w:pPr>
        <w:pStyle w:val="Normal"/>
      </w:pPr>
      <w:r w:rsidR="756ED271">
        <w:rPr/>
        <w:t xml:space="preserve">Para mais informações sobre o Simples Nacional, por favor, consultar o arquivo </w:t>
      </w:r>
      <w:r w:rsidRPr="2F6D2AC0" w:rsidR="756ED271">
        <w:rPr>
          <w:b w:val="1"/>
          <w:bCs w:val="1"/>
        </w:rPr>
        <w:t>ORIENTACOES_SIMPLES_NACIONAL.pdf</w:t>
      </w:r>
    </w:p>
    <w:p w:rsidR="2F6D2AC0" w:rsidP="2F6D2AC0" w:rsidRDefault="2F6D2AC0" w14:paraId="5AEA7B59" w14:textId="3EE4F253">
      <w:pPr>
        <w:pStyle w:val="Normal"/>
      </w:pPr>
    </w:p>
    <w:p w:rsidR="2F6D2AC0" w:rsidP="2F6D2AC0" w:rsidRDefault="2F6D2AC0" w14:paraId="512171BB" w14:textId="3CE53FC8">
      <w:pPr>
        <w:pStyle w:val="Normal"/>
      </w:pPr>
    </w:p>
    <w:p w:rsidR="2F6D2AC0" w:rsidRDefault="2F6D2AC0" w14:paraId="2E3DAAE6" w14:textId="449137DE">
      <w:r>
        <w:br w:type="page"/>
      </w:r>
    </w:p>
    <w:p w:rsidR="18FFE952" w:rsidP="2F6D2AC0" w:rsidRDefault="18FFE952" w14:paraId="4F051C56" w14:textId="1A111CC9">
      <w:pPr>
        <w:pStyle w:val="Normal"/>
      </w:pPr>
      <w:r w:rsidR="18FFE952">
        <w:rPr/>
        <w:t>As informações de Receita Bruta, Anexo e Alíquota Mensal podem ser obtidas acessando o menu abaixo:</w:t>
      </w:r>
    </w:p>
    <w:p w:rsidR="18FFE952" w:rsidP="2F6D2AC0" w:rsidRDefault="18FFE952" w14:paraId="1637776D" w14:textId="493C2D94">
      <w:pPr>
        <w:pStyle w:val="Normal"/>
      </w:pPr>
      <w:r w:rsidR="18FFE952">
        <w:drawing>
          <wp:inline wp14:editId="5B9D40C8" wp14:anchorId="10FF00BE">
            <wp:extent cx="7143750" cy="3533815"/>
            <wp:effectExtent l="0" t="0" r="0" b="0"/>
            <wp:docPr id="93542641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e9d2e1275104b2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17371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353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A5AC7FD" w:rsidP="2F6D2AC0" w:rsidRDefault="1A5AC7FD" w14:paraId="30A21110" w14:textId="0D6A0628">
      <w:pPr>
        <w:pStyle w:val="Heading2"/>
      </w:pPr>
      <w:r w:rsidR="1A5AC7FD">
        <w:drawing>
          <wp:inline wp14:editId="2FD3B5B4" wp14:anchorId="73661CE0">
            <wp:extent cx="7143750" cy="3114675"/>
            <wp:effectExtent l="0" t="0" r="0" b="0"/>
            <wp:docPr id="11089434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a6f47e237d74f3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F6D2AC0" w:rsidRDefault="2F6D2AC0" w14:paraId="6ACE99AE" w14:textId="48D41024">
      <w:r>
        <w:br w:type="page"/>
      </w:r>
    </w:p>
    <w:p w:rsidR="35676C4B" w:rsidP="2F6D2AC0" w:rsidRDefault="35676C4B" w14:paraId="5C6BC698" w14:textId="2585226F">
      <w:pPr>
        <w:pStyle w:val="Heading2"/>
      </w:pPr>
      <w:r w:rsidR="35676C4B">
        <w:rPr/>
        <w:t xml:space="preserve">Considerações para </w:t>
      </w:r>
      <w:r w:rsidR="1B7546BB">
        <w:rPr/>
        <w:t>Envio de RPS:</w:t>
      </w:r>
    </w:p>
    <w:p w:rsidR="528EB2DD" w:rsidP="2F6D2AC0" w:rsidRDefault="528EB2DD" w14:paraId="018BDAEE" w14:textId="708F3EB3">
      <w:pPr>
        <w:pStyle w:val="Normal"/>
      </w:pPr>
      <w:r w:rsidR="528EB2DD">
        <w:rPr/>
        <w:t>Aliquota</w:t>
      </w:r>
      <w:r w:rsidR="528EB2DD">
        <w:rPr/>
        <w:t xml:space="preserve">: O valor da </w:t>
      </w:r>
      <w:r w:rsidR="442CCB5C">
        <w:rPr/>
        <w:t>alíquota</w:t>
      </w:r>
      <w:r w:rsidR="528EB2DD">
        <w:rPr/>
        <w:t xml:space="preserve"> deve ser igual ao gerado no portal no </w:t>
      </w:r>
      <w:r w:rsidR="116FBE82">
        <w:rPr/>
        <w:t>mês</w:t>
      </w:r>
      <w:r w:rsidR="528EB2DD">
        <w:rPr/>
        <w:t xml:space="preserve"> da emissão da </w:t>
      </w:r>
      <w:r w:rsidR="528EB2DD">
        <w:rPr/>
        <w:t>nfse</w:t>
      </w:r>
      <w:r w:rsidR="528EB2DD">
        <w:rPr/>
        <w:t>.</w:t>
      </w:r>
    </w:p>
    <w:p w:rsidR="528EB2DD" w:rsidP="2F6D2AC0" w:rsidRDefault="528EB2DD" w14:paraId="5A2109BE" w14:textId="48EB86CD">
      <w:pPr>
        <w:pStyle w:val="Normal"/>
        <w:jc w:val="center"/>
      </w:pPr>
      <w:r w:rsidR="528EB2DD">
        <w:drawing>
          <wp:inline wp14:editId="5786B959" wp14:anchorId="1B9D0D9B">
            <wp:extent cx="4572000" cy="2962656"/>
            <wp:effectExtent l="0" t="0" r="0" b="0"/>
            <wp:docPr id="68396578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ff2ec143575431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5894BF2" w:rsidP="2F6D2AC0" w:rsidRDefault="05894BF2" w14:paraId="5F13482C" w14:textId="2A5A3836">
      <w:pPr>
        <w:pStyle w:val="Heading2"/>
      </w:pPr>
      <w:r w:rsidR="05894BF2">
        <w:rPr/>
        <w:t>Considerações cancelamento:</w:t>
      </w:r>
    </w:p>
    <w:p w:rsidR="05894BF2" w:rsidP="2F6D2AC0" w:rsidRDefault="05894BF2" w14:paraId="50B6F53B" w14:textId="76B5A98E">
      <w:pPr>
        <w:pStyle w:val="Normal"/>
      </w:pPr>
      <w:r w:rsidR="05894BF2">
        <w:rPr/>
        <w:t xml:space="preserve">Para efetuar o cancelamento, é necessário que a </w:t>
      </w:r>
      <w:r w:rsidR="05894BF2">
        <w:rPr/>
        <w:t>nfs</w:t>
      </w:r>
      <w:r w:rsidR="05894BF2">
        <w:rPr/>
        <w:t xml:space="preserve">-e esteja salva em um arquivo </w:t>
      </w:r>
      <w:r w:rsidR="05894BF2">
        <w:rPr/>
        <w:t>xml</w:t>
      </w:r>
      <w:r w:rsidR="05894BF2">
        <w:rPr/>
        <w:t xml:space="preserve"> no diretório</w:t>
      </w:r>
    </w:p>
    <w:p w:rsidR="61682E71" w:rsidP="2F6D2AC0" w:rsidRDefault="61682E71" w14:paraId="3E812DD1" w14:textId="7D3A00C3">
      <w:pPr>
        <w:pStyle w:val="Normal"/>
      </w:pPr>
      <w:r w:rsidR="61682E71">
        <w:rPr/>
        <w:t>C:\</w:t>
      </w:r>
      <w:r w:rsidR="61682E71">
        <w:rPr/>
        <w:t>inetpub</w:t>
      </w:r>
      <w:r w:rsidR="61682E71">
        <w:rPr/>
        <w:t>\Services\</w:t>
      </w:r>
      <w:r w:rsidR="61682E71">
        <w:rPr/>
        <w:t>IntegradorNFSe</w:t>
      </w:r>
      <w:r w:rsidR="61682E71">
        <w:rPr/>
        <w:t>\bin\controle\</w:t>
      </w:r>
      <w:r w:rsidR="61682E71">
        <w:rPr/>
        <w:t>cnpj</w:t>
      </w:r>
      <w:r w:rsidR="61682E71">
        <w:rPr/>
        <w:t>\</w:t>
      </w:r>
      <w:r w:rsidR="61682E71">
        <w:rPr/>
        <w:t>cnpj</w:t>
      </w:r>
      <w:r w:rsidR="61682E71">
        <w:rPr/>
        <w:t>.numero</w:t>
      </w:r>
    </w:p>
    <w:p w:rsidR="61682E71" w:rsidP="2F6D2AC0" w:rsidRDefault="61682E71" w14:paraId="5CE97AA8" w14:textId="76E08FF9">
      <w:pPr>
        <w:pStyle w:val="Normal"/>
      </w:pPr>
      <w:r w:rsidRPr="2F6D2AC0" w:rsidR="61682E71">
        <w:rPr>
          <w:b w:val="1"/>
          <w:bCs w:val="1"/>
        </w:rPr>
        <w:t>Exemplo</w:t>
      </w:r>
      <w:r w:rsidR="61682E71">
        <w:rPr/>
        <w:t>:</w:t>
      </w:r>
    </w:p>
    <w:p w:rsidR="61682E71" w:rsidP="2F6D2AC0" w:rsidRDefault="61682E71" w14:paraId="3EF7070F" w14:textId="6EB36936">
      <w:pPr>
        <w:pStyle w:val="Normal"/>
      </w:pPr>
      <w:r w:rsidRPr="2F6D2AC0" w:rsidR="61682E71">
        <w:rPr>
          <w:lang w:val="en-US"/>
        </w:rPr>
        <w:t>"C:\</w:t>
      </w:r>
      <w:r w:rsidRPr="2F6D2AC0" w:rsidR="61682E71">
        <w:rPr>
          <w:lang w:val="en-US"/>
        </w:rPr>
        <w:t>inetpub</w:t>
      </w:r>
      <w:r w:rsidRPr="2F6D2AC0" w:rsidR="61682E71">
        <w:rPr>
          <w:lang w:val="en-US"/>
        </w:rPr>
        <w:t>\Services\</w:t>
      </w:r>
      <w:r w:rsidRPr="2F6D2AC0" w:rsidR="61682E71">
        <w:rPr>
          <w:lang w:val="en-US"/>
        </w:rPr>
        <w:t>IntegradorNFSe</w:t>
      </w:r>
      <w:r w:rsidRPr="2F6D2AC0" w:rsidR="61682E71">
        <w:rPr>
          <w:lang w:val="en-US"/>
        </w:rPr>
        <w:t>\bin\</w:t>
      </w:r>
      <w:r w:rsidRPr="2F6D2AC0" w:rsidR="61682E71">
        <w:rPr>
          <w:lang w:val="en-US"/>
        </w:rPr>
        <w:t>controle</w:t>
      </w:r>
      <w:r w:rsidRPr="2F6D2AC0" w:rsidR="61682E71">
        <w:rPr>
          <w:lang w:val="en-US"/>
        </w:rPr>
        <w:t>\96378765000139\96378765000139.260"</w:t>
      </w:r>
    </w:p>
    <w:p w:rsidR="64B69721" w:rsidP="2F6D2AC0" w:rsidRDefault="64B69721" w14:paraId="27FBBED7" w14:textId="0B06AE23">
      <w:pPr>
        <w:pStyle w:val="Normal"/>
      </w:pPr>
      <w:r w:rsidR="64B69721">
        <w:rPr/>
        <w:t xml:space="preserve">Isso é necessário, pois o cancelamento é feito através do número de controle e não do </w:t>
      </w:r>
      <w:r w:rsidR="64B69721">
        <w:rPr/>
        <w:t>número</w:t>
      </w:r>
      <w:r w:rsidR="64B69721">
        <w:rPr/>
        <w:t xml:space="preserve"> da </w:t>
      </w:r>
      <w:r w:rsidR="64B69721">
        <w:rPr/>
        <w:t>nfs</w:t>
      </w:r>
      <w:r w:rsidR="64B69721">
        <w:rPr/>
        <w:t>-e.</w:t>
      </w:r>
    </w:p>
    <w:p w:rsidR="64B69721" w:rsidP="2F6D2AC0" w:rsidRDefault="64B69721" w14:paraId="0B665FBE" w14:textId="582C969E">
      <w:pPr>
        <w:pStyle w:val="Normal"/>
        <w:jc w:val="center"/>
      </w:pPr>
      <w:r w:rsidR="64B69721">
        <w:drawing>
          <wp:inline wp14:editId="23383308" wp14:anchorId="60BA91F8">
            <wp:extent cx="4183062" cy="1171258"/>
            <wp:effectExtent l="0" t="0" r="0" b="0"/>
            <wp:docPr id="16833504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99f5b90890e47f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062" cy="117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4B69721" w:rsidP="2F6D2AC0" w:rsidRDefault="64B69721" w14:paraId="7C62FB45" w14:textId="0D299C29">
      <w:pPr>
        <w:pStyle w:val="Normal"/>
        <w:jc w:val="center"/>
      </w:pPr>
      <w:r w:rsidR="64B69721">
        <w:drawing>
          <wp:inline wp14:editId="5E4972A8" wp14:anchorId="50B29D38">
            <wp:extent cx="3037437" cy="1779805"/>
            <wp:effectExtent l="0" t="0" r="0" b="0"/>
            <wp:docPr id="9464234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69ee8f9b38745e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437" cy="177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274E22E" w:rsidP="2F6D2AC0" w:rsidRDefault="1274E22E" w14:paraId="0217C3A2" w14:textId="2C67EBCA">
      <w:pPr>
        <w:pStyle w:val="Normal"/>
      </w:pPr>
      <w:r w:rsidR="1274E22E">
        <w:rPr/>
        <w:t xml:space="preserve">Caso a nota não esteja presente no diretório, basta efetuar uma </w:t>
      </w:r>
      <w:r w:rsidRPr="2F6D2AC0" w:rsidR="1274E22E">
        <w:rPr>
          <w:b w:val="1"/>
          <w:bCs w:val="1"/>
        </w:rPr>
        <w:t>consulta lote</w:t>
      </w:r>
      <w:r w:rsidR="1274E22E">
        <w:rPr/>
        <w:t xml:space="preserve"> ou </w:t>
      </w:r>
      <w:r w:rsidRPr="2F6D2AC0" w:rsidR="1274E22E">
        <w:rPr>
          <w:b w:val="1"/>
          <w:bCs w:val="1"/>
        </w:rPr>
        <w:t>consulta por RPS</w:t>
      </w:r>
      <w:r w:rsidR="1274E22E">
        <w:rPr/>
        <w:t xml:space="preserve">, que o arquivo será gravado no diretório, sendo </w:t>
      </w:r>
      <w:r w:rsidR="3AAD7931">
        <w:rPr/>
        <w:t>possível</w:t>
      </w:r>
      <w:r w:rsidR="1274E22E">
        <w:rPr/>
        <w:t xml:space="preserve"> obter o </w:t>
      </w:r>
      <w:r w:rsidR="79C43217">
        <w:rPr/>
        <w:t>número</w:t>
      </w:r>
      <w:r w:rsidR="1274E22E">
        <w:rPr/>
        <w:t xml:space="preserve"> do controle e efetuar o cancelamento.</w:t>
      </w:r>
    </w:p>
    <w:p w:rsidR="2A713C09" w:rsidP="2F6D2AC0" w:rsidRDefault="2A713C09" w14:paraId="438648FB" w14:textId="2F216FE1">
      <w:pPr>
        <w:pStyle w:val="Normal"/>
      </w:pPr>
      <w:r w:rsidRPr="2F6D2AC0" w:rsidR="2A713C09">
        <w:rPr>
          <w:b w:val="1"/>
          <w:bCs w:val="1"/>
        </w:rPr>
        <w:t>Obs</w:t>
      </w:r>
      <w:r w:rsidRPr="2F6D2AC0" w:rsidR="2A713C09">
        <w:rPr>
          <w:b w:val="1"/>
          <w:bCs w:val="1"/>
        </w:rPr>
        <w:t xml:space="preserve">: </w:t>
      </w:r>
      <w:r w:rsidR="2A713C09">
        <w:rPr/>
        <w:t>Tanto a consulta lote quanto a consulta por RPS utilizam o número do RPS para efetuar a consulta.</w:t>
      </w:r>
    </w:p>
    <w:sectPr>
      <w:pgSz w:w="11906" w:h="16838" w:orient="portrait"/>
      <w:pgMar w:top="450" w:right="476" w:bottom="144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22BFEC"/>
    <w:rsid w:val="05894BF2"/>
    <w:rsid w:val="09659A88"/>
    <w:rsid w:val="0A4AACBC"/>
    <w:rsid w:val="0B4123DF"/>
    <w:rsid w:val="0B4123DF"/>
    <w:rsid w:val="0D075BD0"/>
    <w:rsid w:val="100CFE14"/>
    <w:rsid w:val="116FBE82"/>
    <w:rsid w:val="1240E91C"/>
    <w:rsid w:val="1274E22E"/>
    <w:rsid w:val="13485B9C"/>
    <w:rsid w:val="1389F126"/>
    <w:rsid w:val="13F18A55"/>
    <w:rsid w:val="13F18A55"/>
    <w:rsid w:val="155C14DF"/>
    <w:rsid w:val="155C14DF"/>
    <w:rsid w:val="16EA03FD"/>
    <w:rsid w:val="17541F3E"/>
    <w:rsid w:val="18FFE952"/>
    <w:rsid w:val="1A5AC7FD"/>
    <w:rsid w:val="1B7546BB"/>
    <w:rsid w:val="206C3171"/>
    <w:rsid w:val="2190B573"/>
    <w:rsid w:val="24DB02A6"/>
    <w:rsid w:val="2630F3B8"/>
    <w:rsid w:val="27D58306"/>
    <w:rsid w:val="28DC5838"/>
    <w:rsid w:val="2A713C09"/>
    <w:rsid w:val="2B042C76"/>
    <w:rsid w:val="2B042C76"/>
    <w:rsid w:val="2F6D2AC0"/>
    <w:rsid w:val="35676C4B"/>
    <w:rsid w:val="35FEAB0B"/>
    <w:rsid w:val="35FEAB0B"/>
    <w:rsid w:val="360DCE04"/>
    <w:rsid w:val="37059A59"/>
    <w:rsid w:val="3AAD7931"/>
    <w:rsid w:val="3C1C9287"/>
    <w:rsid w:val="3C1C9287"/>
    <w:rsid w:val="442CCB5C"/>
    <w:rsid w:val="45C23A08"/>
    <w:rsid w:val="4622BFEC"/>
    <w:rsid w:val="4DA3202B"/>
    <w:rsid w:val="5206D6FE"/>
    <w:rsid w:val="528EB2DD"/>
    <w:rsid w:val="61682E71"/>
    <w:rsid w:val="64B69721"/>
    <w:rsid w:val="659EE9DD"/>
    <w:rsid w:val="693F8EC8"/>
    <w:rsid w:val="6E5779CA"/>
    <w:rsid w:val="7502CFD9"/>
    <w:rsid w:val="756ED271"/>
    <w:rsid w:val="76C17D6D"/>
    <w:rsid w:val="79C43217"/>
    <w:rsid w:val="7A4CD7A6"/>
    <w:rsid w:val="7A4CD7A6"/>
    <w:rsid w:val="7CCA240D"/>
    <w:rsid w:val="7D4C56FA"/>
    <w:rsid w:val="7E30D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2BFEC"/>
  <w15:chartTrackingRefBased/>
  <w15:docId w15:val="{096379F8-ACF7-4CD2-B841-E551538396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3fd24706659a4a15" /><Relationship Type="http://schemas.openxmlformats.org/officeDocument/2006/relationships/image" Target="/media/image2.png" Id="Ree9d2e1275104b23" /><Relationship Type="http://schemas.openxmlformats.org/officeDocument/2006/relationships/image" Target="/media/image3.png" Id="R3a6f47e237d74f3a" /><Relationship Type="http://schemas.openxmlformats.org/officeDocument/2006/relationships/image" Target="/media/image4.png" Id="R0ff2ec1435754319" /><Relationship Type="http://schemas.openxmlformats.org/officeDocument/2006/relationships/image" Target="/media/image5.png" Id="Rf99f5b90890e47fa" /><Relationship Type="http://schemas.openxmlformats.org/officeDocument/2006/relationships/image" Target="/media/image6.png" Id="Re69ee8f9b38745e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2024-10-31T17:48:41.3586529Z</dcterms:created>
  <dcterms:modified xsi:type="dcterms:W3CDTF">2024-10-31T18:28:15.8470833Z</dcterms:modified>
  <dc:creator>Breno Souza De Araújo</dc:creator>
  <lastModifiedBy>Breno Souza De Araújo</lastModifiedBy>
</coreProperties>
</file>